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3764" w14:textId="77777777" w:rsidR="00D935C8" w:rsidRPr="00D935C8" w:rsidRDefault="00D935C8" w:rsidP="00D935C8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D935C8">
        <w:rPr>
          <w:rFonts w:cs="ＭＳ 明朝"/>
          <w:color w:val="auto"/>
          <w:sz w:val="24"/>
          <w:szCs w:val="24"/>
        </w:rPr>
        <w:t>別紙</w:t>
      </w:r>
    </w:p>
    <w:p w14:paraId="6B18BB23" w14:textId="77777777" w:rsidR="00D935C8" w:rsidRPr="00D935C8" w:rsidRDefault="00D935C8" w:rsidP="00D935C8">
      <w:pPr>
        <w:widowControl w:val="0"/>
        <w:spacing w:before="9" w:line="240" w:lineRule="auto"/>
        <w:jc w:val="center"/>
        <w:rPr>
          <w:rFonts w:ascii="ＭＳ Ｐゴシック" w:eastAsia="ＭＳ Ｐゴシック" w:hAnsi="ＭＳ Ｐゴシック" w:cs="ＭＳ ゴシック"/>
          <w:color w:val="auto"/>
          <w:sz w:val="28"/>
        </w:rPr>
      </w:pPr>
      <w:r w:rsidRPr="00D935C8">
        <w:rPr>
          <w:rFonts w:ascii="ＭＳ Ｐゴシック" w:eastAsia="ＭＳ Ｐゴシック" w:hAnsi="ＭＳ Ｐゴシック" w:cs="ＭＳ ゴシック"/>
          <w:color w:val="auto"/>
          <w:sz w:val="28"/>
        </w:rPr>
        <w:t>ＩＣＴ活用</w:t>
      </w:r>
      <w:r w:rsidRPr="00D935C8">
        <w:rPr>
          <w:rFonts w:ascii="ＭＳ Ｐゴシック" w:eastAsia="ＭＳ Ｐゴシック" w:hAnsi="ＭＳ Ｐゴシック" w:cs="ＭＳ ゴシック" w:hint="eastAsia"/>
          <w:color w:val="auto"/>
          <w:sz w:val="28"/>
        </w:rPr>
        <w:t>工事（浚渫工（</w:t>
      </w:r>
      <w:r w:rsidRPr="00D935C8">
        <w:rPr>
          <w:rFonts w:ascii="ＭＳ Ｐゴシック" w:eastAsia="ＭＳ Ｐゴシック" w:hAnsi="ＭＳ Ｐゴシック" w:hint="eastAsia"/>
          <w:color w:val="auto"/>
          <w:kern w:val="0"/>
          <w:sz w:val="28"/>
        </w:rPr>
        <w:t>港湾）</w:t>
      </w:r>
      <w:r w:rsidRPr="00D935C8">
        <w:rPr>
          <w:rFonts w:ascii="ＭＳ Ｐゴシック" w:eastAsia="ＭＳ Ｐゴシック" w:hAnsi="ＭＳ Ｐゴシック" w:cs="ＭＳ ゴシック" w:hint="eastAsia"/>
          <w:color w:val="auto"/>
          <w:sz w:val="28"/>
        </w:rPr>
        <w:t>）</w:t>
      </w:r>
      <w:r w:rsidRPr="00D935C8">
        <w:rPr>
          <w:rFonts w:ascii="ＭＳ Ｐゴシック" w:eastAsia="ＭＳ Ｐゴシック" w:hAnsi="ＭＳ Ｐゴシック" w:cs="ＭＳ ゴシック"/>
          <w:color w:val="auto"/>
          <w:sz w:val="28"/>
        </w:rPr>
        <w:t>計画書</w:t>
      </w:r>
    </w:p>
    <w:p w14:paraId="2ED01651" w14:textId="77777777" w:rsidR="00D935C8" w:rsidRPr="00D935C8" w:rsidRDefault="00D935C8" w:rsidP="00D935C8">
      <w:pPr>
        <w:widowControl w:val="0"/>
        <w:spacing w:before="9" w:line="240" w:lineRule="auto"/>
        <w:jc w:val="center"/>
        <w:rPr>
          <w:rFonts w:ascii="ＭＳ Ｐゴシック" w:eastAsia="ＭＳ Ｐゴシック" w:hAnsi="ＭＳ Ｐゴシック" w:cs="ＭＳ ゴシック"/>
          <w:color w:val="auto"/>
          <w:sz w:val="20"/>
          <w:szCs w:val="20"/>
        </w:rPr>
      </w:pPr>
    </w:p>
    <w:p w14:paraId="7FF4EAC7" w14:textId="77777777" w:rsidR="00D935C8" w:rsidRPr="00D935C8" w:rsidRDefault="00D935C8" w:rsidP="00D935C8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</w:pPr>
      <w:r w:rsidRPr="00D935C8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当該工事において、</w:t>
      </w:r>
      <w:r w:rsidRPr="00D935C8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施工</w:t>
      </w:r>
      <w:r w:rsidRPr="00D935C8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プロセスの各段階</w:t>
      </w:r>
      <w:r w:rsidRPr="00D935C8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および作業内容</w:t>
      </w:r>
      <w:r w:rsidRPr="00D935C8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において、</w:t>
      </w:r>
    </w:p>
    <w:p w14:paraId="71DFCDD3" w14:textId="77777777" w:rsidR="00D935C8" w:rsidRPr="00D935C8" w:rsidRDefault="00D935C8" w:rsidP="00D935C8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D935C8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ＩＣＴ</w:t>
      </w:r>
      <w:r w:rsidRPr="00D935C8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を</w:t>
      </w:r>
      <w:r w:rsidRPr="00D935C8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活用する場合は、左端</w:t>
      </w:r>
      <w:r w:rsidRPr="00D935C8">
        <w:rPr>
          <w:rFonts w:ascii="ＭＳ ゴシック" w:eastAsia="ＭＳ ゴシック" w:hAnsi="ＭＳ ゴシック" w:cs="ＭＳ ゴシック"/>
          <w:color w:val="auto"/>
          <w:spacing w:val="28"/>
          <w:sz w:val="24"/>
          <w:szCs w:val="18"/>
        </w:rPr>
        <w:t xml:space="preserve"> </w:t>
      </w:r>
      <w:r w:rsidRPr="00D935C8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のチェック欄に「</w:t>
      </w:r>
      <w:r w:rsidRPr="00D935C8">
        <w:rPr>
          <w:rFonts w:ascii="ＭＳ ゴシック" w:eastAsia="ＭＳ ゴシック" w:hAnsi="ＭＳ ゴシック" w:cs="ＭＳ ゴシック" w:hint="eastAsia"/>
          <w:color w:val="auto"/>
          <w:sz w:val="24"/>
          <w:szCs w:val="18"/>
        </w:rPr>
        <w:t>レ</w:t>
      </w:r>
      <w:r w:rsidRPr="00D935C8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」と記入する</w:t>
      </w:r>
      <w:r w:rsidRPr="00D935C8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p w14:paraId="31E80978" w14:textId="77777777" w:rsidR="00D935C8" w:rsidRPr="00D935C8" w:rsidRDefault="00D935C8" w:rsidP="00D935C8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</w:p>
    <w:tbl>
      <w:tblPr>
        <w:tblStyle w:val="TableNormal"/>
        <w:tblW w:w="10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984"/>
        <w:gridCol w:w="425"/>
        <w:gridCol w:w="1418"/>
        <w:gridCol w:w="992"/>
        <w:gridCol w:w="4840"/>
      </w:tblGrid>
      <w:tr w:rsidR="00D935C8" w:rsidRPr="00D935C8" w14:paraId="4129C64A" w14:textId="77777777" w:rsidTr="00704F22">
        <w:trPr>
          <w:trHeight w:hRule="exact" w:val="734"/>
          <w:jc w:val="center"/>
        </w:trPr>
        <w:tc>
          <w:tcPr>
            <w:tcW w:w="2400" w:type="dxa"/>
            <w:gridSpan w:val="2"/>
            <w:vAlign w:val="center"/>
          </w:tcPr>
          <w:p w14:paraId="2DC01723" w14:textId="77777777" w:rsidR="00D935C8" w:rsidRPr="00D935C8" w:rsidRDefault="00D935C8" w:rsidP="00D935C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D935C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D446BB0" w14:textId="77777777" w:rsidR="00D935C8" w:rsidRPr="00D935C8" w:rsidRDefault="00D935C8" w:rsidP="00D935C8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</w:p>
        </w:tc>
        <w:tc>
          <w:tcPr>
            <w:tcW w:w="992" w:type="dxa"/>
            <w:vAlign w:val="center"/>
          </w:tcPr>
          <w:p w14:paraId="04E40DD7" w14:textId="77777777" w:rsidR="00D935C8" w:rsidRPr="00D935C8" w:rsidRDefault="00D935C8" w:rsidP="00D935C8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採用する</w:t>
            </w:r>
          </w:p>
          <w:p w14:paraId="3BF3AED9" w14:textId="77777777" w:rsidR="00D935C8" w:rsidRPr="00D935C8" w:rsidRDefault="00D935C8" w:rsidP="00D935C8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</w:t>
            </w:r>
          </w:p>
          <w:p w14:paraId="0E878816" w14:textId="77777777" w:rsidR="00D935C8" w:rsidRPr="00D935C8" w:rsidRDefault="00D935C8" w:rsidP="00D935C8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（参考）</w:t>
            </w:r>
          </w:p>
        </w:tc>
        <w:tc>
          <w:tcPr>
            <w:tcW w:w="4840" w:type="dxa"/>
            <w:vAlign w:val="center"/>
          </w:tcPr>
          <w:p w14:paraId="007C71E3" w14:textId="77777777" w:rsidR="00D935C8" w:rsidRPr="00D935C8" w:rsidRDefault="00D935C8" w:rsidP="00D935C8">
            <w:pPr>
              <w:spacing w:before="12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</w:p>
        </w:tc>
      </w:tr>
      <w:tr w:rsidR="00D935C8" w:rsidRPr="00D935C8" w14:paraId="73B64E04" w14:textId="77777777" w:rsidTr="00704F22">
        <w:trPr>
          <w:trHeight w:hRule="exact" w:val="383"/>
          <w:jc w:val="center"/>
        </w:trPr>
        <w:tc>
          <w:tcPr>
            <w:tcW w:w="416" w:type="dxa"/>
            <w:vAlign w:val="center"/>
          </w:tcPr>
          <w:p w14:paraId="7AA8E0E5" w14:textId="77777777" w:rsidR="00D935C8" w:rsidRPr="00D935C8" w:rsidRDefault="00D935C8" w:rsidP="00D935C8">
            <w:pPr>
              <w:jc w:val="center"/>
              <w:rPr>
                <w:rFonts w:eastAsia="ＭＳ ゴシック"/>
                <w:sz w:val="24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3BC89898" w14:textId="77777777" w:rsidR="00D935C8" w:rsidRPr="00D935C8" w:rsidRDefault="00D935C8" w:rsidP="00D935C8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①３次</w:t>
            </w:r>
            <w:proofErr w:type="spellStart"/>
            <w:r w:rsidRPr="00D935C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元起工測量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1992CC2C" w14:textId="77777777" w:rsidR="00D935C8" w:rsidRPr="00D935C8" w:rsidRDefault="00D935C8" w:rsidP="00D935C8">
            <w:pPr>
              <w:rPr>
                <w:rFonts w:eastAsia="ＭＳ ゴシック"/>
                <w:sz w:val="24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14:paraId="2FAF7C5E" w14:textId="77777777" w:rsidR="00D935C8" w:rsidRPr="00D935C8" w:rsidRDefault="00D935C8" w:rsidP="00D935C8">
            <w:pPr>
              <w:rPr>
                <w:rFonts w:eastAsia="ＭＳ ゴシック"/>
                <w:sz w:val="24"/>
              </w:rPr>
            </w:pPr>
          </w:p>
        </w:tc>
        <w:tc>
          <w:tcPr>
            <w:tcW w:w="4840" w:type="dxa"/>
            <w:vAlign w:val="center"/>
          </w:tcPr>
          <w:p w14:paraId="7A42E774" w14:textId="77777777" w:rsidR="00D935C8" w:rsidRPr="00D935C8" w:rsidRDefault="00D935C8" w:rsidP="00D935C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１　マルチビームを用いた深浅測量</w:t>
            </w:r>
          </w:p>
        </w:tc>
      </w:tr>
      <w:tr w:rsidR="00D935C8" w:rsidRPr="00D935C8" w14:paraId="3235D7C1" w14:textId="77777777" w:rsidTr="00704F22">
        <w:trPr>
          <w:trHeight w:hRule="exact" w:val="425"/>
          <w:jc w:val="center"/>
        </w:trPr>
        <w:tc>
          <w:tcPr>
            <w:tcW w:w="416" w:type="dxa"/>
            <w:vAlign w:val="center"/>
          </w:tcPr>
          <w:p w14:paraId="33DBD97A" w14:textId="77777777" w:rsidR="00D935C8" w:rsidRPr="00D935C8" w:rsidRDefault="00D935C8" w:rsidP="00D935C8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1432F810" w14:textId="77777777" w:rsidR="00D935C8" w:rsidRPr="00D935C8" w:rsidRDefault="00D935C8" w:rsidP="00D935C8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</w:t>
            </w:r>
            <w:r w:rsidRPr="00D935C8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３次元数量計算</w:t>
            </w:r>
          </w:p>
        </w:tc>
        <w:tc>
          <w:tcPr>
            <w:tcW w:w="7675" w:type="dxa"/>
            <w:gridSpan w:val="4"/>
            <w:tcBorders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02633005" w14:textId="77777777" w:rsidR="00D935C8" w:rsidRPr="00D935C8" w:rsidRDefault="00D935C8" w:rsidP="00D935C8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</w:rPr>
            </w:pPr>
          </w:p>
        </w:tc>
      </w:tr>
      <w:tr w:rsidR="00D935C8" w:rsidRPr="00D935C8" w14:paraId="4F89BE96" w14:textId="77777777" w:rsidTr="00704F22">
        <w:trPr>
          <w:trHeight w:val="605"/>
          <w:jc w:val="center"/>
        </w:trPr>
        <w:tc>
          <w:tcPr>
            <w:tcW w:w="416" w:type="dxa"/>
            <w:vMerge w:val="restart"/>
            <w:vAlign w:val="center"/>
          </w:tcPr>
          <w:p w14:paraId="56A2D9D6" w14:textId="77777777" w:rsidR="00D935C8" w:rsidRPr="00D935C8" w:rsidRDefault="00D935C8" w:rsidP="00D935C8">
            <w:pPr>
              <w:ind w:firstLineChars="50" w:firstLine="90"/>
              <w:rPr>
                <w:rFonts w:eastAsia="ＭＳ ゴシック"/>
                <w:sz w:val="24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vMerge w:val="restart"/>
            <w:vAlign w:val="center"/>
          </w:tcPr>
          <w:p w14:paraId="408BC59A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③ＩＣＴを活用した施工</w:t>
            </w: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4D287D23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2555798A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ポンプ浚渫工</w:t>
            </w:r>
          </w:p>
          <w:p w14:paraId="5B246418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ポンプ浚渫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1E20D911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  <w:tc>
          <w:tcPr>
            <w:tcW w:w="4840" w:type="dxa"/>
            <w:vMerge w:val="restart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D342DAD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１　グラブバケットの平面位置と目標浚渫位置・深度をリアルタイムで可視化する技術</w:t>
            </w:r>
          </w:p>
          <w:p w14:paraId="05C93126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２　カッターヘッドの平面位置と目標浚渫位置・深度をリアルタイ　ムで可視化する技術</w:t>
            </w:r>
          </w:p>
          <w:p w14:paraId="126F367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３　バックホウのバケットの平面位置と目標浚渫位置・深度をリアルタイムで可視化する技術</w:t>
            </w:r>
          </w:p>
        </w:tc>
      </w:tr>
      <w:tr w:rsidR="00D935C8" w:rsidRPr="00D935C8" w14:paraId="73715C74" w14:textId="77777777" w:rsidTr="00704F22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72615948" w14:textId="77777777" w:rsidR="00D935C8" w:rsidRPr="00D935C8" w:rsidRDefault="00D935C8" w:rsidP="00D935C8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BAB025D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0A867025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6289046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グラブ浚渫工</w:t>
            </w:r>
          </w:p>
          <w:p w14:paraId="3D7B79ED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グラブ浚渫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5015902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FC06862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D935C8" w:rsidRPr="00D935C8" w14:paraId="20085922" w14:textId="77777777" w:rsidTr="00704F22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5EF4BAB6" w14:textId="77777777" w:rsidR="00D935C8" w:rsidRPr="00D935C8" w:rsidRDefault="00D935C8" w:rsidP="00D935C8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DABB999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6FFC087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32DE5816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硬土盤浚渫工</w:t>
            </w:r>
          </w:p>
          <w:p w14:paraId="16E61225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硬土盤浚渫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1352DA3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C8AB32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D935C8" w:rsidRPr="00D935C8" w14:paraId="16F89A75" w14:textId="77777777" w:rsidTr="00704F22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7B501F07" w14:textId="77777777" w:rsidR="00D935C8" w:rsidRPr="00D935C8" w:rsidRDefault="00D935C8" w:rsidP="00D935C8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C339CA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1B8CEA1A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07FDBA9F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岩盤浚渫工</w:t>
            </w:r>
          </w:p>
          <w:p w14:paraId="2BED0AB4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砕岩浚渫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FC063EC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2C627FB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D935C8" w:rsidRPr="00D935C8" w14:paraId="212DE7FD" w14:textId="77777777" w:rsidTr="00704F22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5A4A3EEA" w14:textId="77777777" w:rsidR="00D935C8" w:rsidRPr="00D935C8" w:rsidRDefault="00D935C8" w:rsidP="00D935C8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D5C6AA0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0D73713E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20CC0768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バックホウ浚渫工</w:t>
            </w:r>
          </w:p>
          <w:p w14:paraId="4E44D6E1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バックホウ浚渫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41F4551F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57268DE" w14:textId="77777777" w:rsidR="00D935C8" w:rsidRPr="00D935C8" w:rsidRDefault="00D935C8" w:rsidP="00D935C8">
            <w:pPr>
              <w:tabs>
                <w:tab w:val="left" w:pos="441"/>
              </w:tabs>
              <w:spacing w:line="200" w:lineRule="exact"/>
              <w:ind w:leftChars="67" w:left="39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</w:p>
        </w:tc>
      </w:tr>
      <w:tr w:rsidR="00D935C8" w:rsidRPr="00D935C8" w14:paraId="30706DD2" w14:textId="77777777" w:rsidTr="00704F22">
        <w:trPr>
          <w:trHeight w:hRule="exact" w:val="775"/>
          <w:jc w:val="center"/>
        </w:trPr>
        <w:tc>
          <w:tcPr>
            <w:tcW w:w="416" w:type="dxa"/>
            <w:vAlign w:val="center"/>
          </w:tcPr>
          <w:p w14:paraId="7929987E" w14:textId="77777777" w:rsidR="00D935C8" w:rsidRPr="00D935C8" w:rsidRDefault="00D935C8" w:rsidP="00D935C8">
            <w:pPr>
              <w:jc w:val="center"/>
              <w:rPr>
                <w:rFonts w:eastAsia="ＭＳ ゴシック"/>
                <w:sz w:val="24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4BCC13D5" w14:textId="77777777" w:rsidR="00D935C8" w:rsidRPr="00D935C8" w:rsidRDefault="00D935C8" w:rsidP="00D935C8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</w:t>
            </w:r>
            <w:r w:rsidRPr="00D935C8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管理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6F21A82B" w14:textId="77777777" w:rsidR="00D935C8" w:rsidRPr="00D935C8" w:rsidRDefault="00D935C8" w:rsidP="00D935C8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3D78FF" w14:textId="77777777" w:rsidR="00D935C8" w:rsidRPr="00D935C8" w:rsidRDefault="00D935C8" w:rsidP="00D935C8">
            <w:pPr>
              <w:rPr>
                <w:rFonts w:eastAsia="ＭＳ ゴシック"/>
                <w:sz w:val="24"/>
              </w:rPr>
            </w:pPr>
          </w:p>
        </w:tc>
        <w:tc>
          <w:tcPr>
            <w:tcW w:w="484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57C6BF" w14:textId="77777777" w:rsidR="00D935C8" w:rsidRPr="00D935C8" w:rsidRDefault="00D935C8" w:rsidP="00D935C8">
            <w:pPr>
              <w:tabs>
                <w:tab w:val="left" w:pos="462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>１　マルチビームを用いた深浅測量</w:t>
            </w:r>
          </w:p>
        </w:tc>
      </w:tr>
      <w:tr w:rsidR="00D935C8" w:rsidRPr="00D935C8" w14:paraId="212AF386" w14:textId="77777777" w:rsidTr="00704F22">
        <w:trPr>
          <w:trHeight w:hRule="exact" w:val="714"/>
          <w:jc w:val="center"/>
        </w:trPr>
        <w:tc>
          <w:tcPr>
            <w:tcW w:w="416" w:type="dxa"/>
            <w:vAlign w:val="center"/>
          </w:tcPr>
          <w:p w14:paraId="6431E25C" w14:textId="77777777" w:rsidR="00D935C8" w:rsidRPr="00D935C8" w:rsidRDefault="00D935C8" w:rsidP="00D935C8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68C5D1CA" w14:textId="77777777" w:rsidR="00D935C8" w:rsidRPr="00D935C8" w:rsidRDefault="00D935C8" w:rsidP="00D935C8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935C8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</w:tc>
        <w:tc>
          <w:tcPr>
            <w:tcW w:w="7675" w:type="dxa"/>
            <w:gridSpan w:val="4"/>
            <w:tcBorders>
              <w:tr2bl w:val="nil"/>
            </w:tcBorders>
            <w:vAlign w:val="center"/>
          </w:tcPr>
          <w:p w14:paraId="080E2195" w14:textId="77777777" w:rsidR="00D935C8" w:rsidRPr="00D935C8" w:rsidRDefault="00D935C8" w:rsidP="00D935C8">
            <w:pPr>
              <w:rPr>
                <w:rFonts w:eastAsia="ＭＳ ゴシック"/>
                <w:sz w:val="24"/>
              </w:rPr>
            </w:pPr>
            <w:r w:rsidRPr="00D935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</w:tc>
      </w:tr>
    </w:tbl>
    <w:p w14:paraId="07CD1D78" w14:textId="77777777" w:rsidR="00D935C8" w:rsidRPr="00D935C8" w:rsidRDefault="00D935C8" w:rsidP="00D935C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935C8">
        <w:rPr>
          <w:rFonts w:cs="ＭＳ 明朝"/>
          <w:color w:val="auto"/>
          <w:sz w:val="18"/>
          <w:szCs w:val="18"/>
        </w:rPr>
        <w:t>注</w:t>
      </w:r>
      <w:r w:rsidRPr="00D935C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935C8">
        <w:rPr>
          <w:rFonts w:cs="ＭＳ 明朝"/>
          <w:color w:val="auto"/>
          <w:sz w:val="18"/>
          <w:szCs w:val="18"/>
        </w:rPr>
        <w:t>1)詳細については、</w:t>
      </w:r>
      <w:r w:rsidRPr="00D935C8">
        <w:rPr>
          <w:rFonts w:cs="ＭＳ 明朝" w:hint="eastAsia"/>
          <w:color w:val="auto"/>
          <w:sz w:val="18"/>
          <w:szCs w:val="18"/>
        </w:rPr>
        <w:t>ＩＣＴ活用工事（浚渫工（港湾））</w:t>
      </w:r>
      <w:r w:rsidRPr="00D935C8">
        <w:rPr>
          <w:rFonts w:cs="ＭＳ 明朝"/>
          <w:color w:val="auto"/>
          <w:sz w:val="18"/>
          <w:szCs w:val="18"/>
        </w:rPr>
        <w:t>特記仕様書</w:t>
      </w:r>
      <w:r w:rsidRPr="00D935C8">
        <w:rPr>
          <w:rFonts w:cs="ＭＳ 明朝" w:hint="eastAsia"/>
          <w:color w:val="auto"/>
          <w:sz w:val="18"/>
          <w:szCs w:val="18"/>
        </w:rPr>
        <w:t>及び試行要領</w:t>
      </w:r>
      <w:r w:rsidRPr="00D935C8">
        <w:rPr>
          <w:rFonts w:cs="ＭＳ 明朝"/>
          <w:color w:val="auto"/>
          <w:sz w:val="18"/>
          <w:szCs w:val="18"/>
        </w:rPr>
        <w:t>によるものとする。</w:t>
      </w:r>
    </w:p>
    <w:p w14:paraId="62F04A80" w14:textId="77777777" w:rsidR="00D935C8" w:rsidRPr="00D935C8" w:rsidRDefault="00D935C8" w:rsidP="00D935C8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935C8">
        <w:rPr>
          <w:rFonts w:cs="ＭＳ 明朝"/>
          <w:color w:val="auto"/>
          <w:sz w:val="18"/>
          <w:szCs w:val="18"/>
        </w:rPr>
        <w:t>注</w:t>
      </w:r>
      <w:r w:rsidRPr="00D935C8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935C8">
        <w:rPr>
          <w:rFonts w:cs="ＭＳ 明朝" w:hint="eastAsia"/>
          <w:color w:val="auto"/>
          <w:sz w:val="18"/>
          <w:szCs w:val="18"/>
        </w:rPr>
        <w:t>2</w:t>
      </w:r>
      <w:r w:rsidRPr="00D935C8">
        <w:rPr>
          <w:rFonts w:cs="ＭＳ 明朝"/>
          <w:color w:val="auto"/>
          <w:sz w:val="18"/>
          <w:szCs w:val="18"/>
        </w:rPr>
        <w:t xml:space="preserve">) </w:t>
      </w:r>
      <w:r w:rsidRPr="00D935C8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3766FC66" w14:textId="77777777" w:rsidR="00D935C8" w:rsidRPr="00D935C8" w:rsidRDefault="00D935C8" w:rsidP="00D935C8">
      <w:pPr>
        <w:widowControl w:val="0"/>
        <w:spacing w:line="240" w:lineRule="auto"/>
        <w:ind w:firstLineChars="100" w:firstLine="210"/>
        <w:rPr>
          <w:color w:val="auto"/>
          <w:kern w:val="0"/>
          <w:szCs w:val="21"/>
        </w:rPr>
      </w:pPr>
    </w:p>
    <w:p w14:paraId="2CA2383B" w14:textId="77777777" w:rsidR="003E2C09" w:rsidRPr="00D935C8" w:rsidRDefault="003E2C09"/>
    <w:sectPr w:rsidR="003E2C09" w:rsidRPr="00D935C8" w:rsidSect="00D935C8">
      <w:foot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F2C9" w14:textId="77777777" w:rsidR="00D935C8" w:rsidRDefault="00D935C8" w:rsidP="00D935C8">
      <w:pPr>
        <w:spacing w:line="240" w:lineRule="auto"/>
      </w:pPr>
      <w:r>
        <w:separator/>
      </w:r>
    </w:p>
  </w:endnote>
  <w:endnote w:type="continuationSeparator" w:id="0">
    <w:p w14:paraId="3237D6DB" w14:textId="77777777" w:rsidR="00D935C8" w:rsidRDefault="00D935C8" w:rsidP="00D93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9E1D" w14:textId="77777777" w:rsidR="00D935C8" w:rsidRDefault="00D935C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30243">
      <w:rPr>
        <w:noProof/>
        <w:lang w:val="ja-JP"/>
      </w:rPr>
      <w:t>5</w:t>
    </w:r>
    <w:r>
      <w:fldChar w:fldCharType="end"/>
    </w:r>
  </w:p>
  <w:p w14:paraId="2AD775D5" w14:textId="77777777" w:rsidR="00D935C8" w:rsidRDefault="00D935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2A05" w14:textId="77777777" w:rsidR="00D935C8" w:rsidRDefault="00D935C8" w:rsidP="00D935C8">
      <w:pPr>
        <w:spacing w:line="240" w:lineRule="auto"/>
      </w:pPr>
      <w:r>
        <w:separator/>
      </w:r>
    </w:p>
  </w:footnote>
  <w:footnote w:type="continuationSeparator" w:id="0">
    <w:p w14:paraId="71B7782A" w14:textId="77777777" w:rsidR="00D935C8" w:rsidRDefault="00D935C8" w:rsidP="00D935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08"/>
    <w:rsid w:val="00136E68"/>
    <w:rsid w:val="00225E77"/>
    <w:rsid w:val="0030126D"/>
    <w:rsid w:val="003E2C09"/>
    <w:rsid w:val="00405582"/>
    <w:rsid w:val="00533F08"/>
    <w:rsid w:val="00671394"/>
    <w:rsid w:val="006A0248"/>
    <w:rsid w:val="009527E4"/>
    <w:rsid w:val="009F6853"/>
    <w:rsid w:val="00A81F18"/>
    <w:rsid w:val="00AA0301"/>
    <w:rsid w:val="00C03BB2"/>
    <w:rsid w:val="00C83BF0"/>
    <w:rsid w:val="00CD52E4"/>
    <w:rsid w:val="00D935C8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35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35C8"/>
  </w:style>
  <w:style w:type="paragraph" w:styleId="ac">
    <w:name w:val="footer"/>
    <w:basedOn w:val="a"/>
    <w:link w:val="ad"/>
    <w:uiPriority w:val="99"/>
    <w:unhideWhenUsed/>
    <w:rsid w:val="00D935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35C8"/>
  </w:style>
  <w:style w:type="table" w:customStyle="1" w:styleId="TableNormal">
    <w:name w:val="Table Normal"/>
    <w:uiPriority w:val="2"/>
    <w:semiHidden/>
    <w:unhideWhenUsed/>
    <w:qFormat/>
    <w:rsid w:val="00D935C8"/>
    <w:pPr>
      <w:widowControl w:val="0"/>
      <w:spacing w:line="240" w:lineRule="auto"/>
      <w:jc w:val="left"/>
    </w:pPr>
    <w:rPr>
      <w:rFonts w:ascii="游明朝" w:eastAsia="游明朝" w:hAnsi="游明朝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509</Characters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